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  <w:r w:rsidRPr="00677A6A">
        <w:rPr>
          <w:sz w:val="28"/>
        </w:rPr>
        <w:t>СОСТАВ РАБОТ</w:t>
      </w:r>
    </w:p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  <w:r w:rsidRPr="00677A6A">
        <w:rPr>
          <w:sz w:val="28"/>
        </w:rPr>
        <w:t xml:space="preserve">ПО ОБСЛУЖИВАНИЮ ВНУТРИДОМОВЫХ </w:t>
      </w:r>
    </w:p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  <w:r w:rsidRPr="00677A6A">
        <w:rPr>
          <w:sz w:val="28"/>
        </w:rPr>
        <w:t xml:space="preserve">СИСТЕМ ЭЛЕКТРОСНАБЖЕНИЯ </w:t>
      </w:r>
    </w:p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  <w:r w:rsidRPr="00677A6A">
        <w:rPr>
          <w:sz w:val="28"/>
        </w:rPr>
        <w:t>И ПЕРИОДИЧНОСТЬ ИХ ВЫПОЛНЕНИЯ</w:t>
      </w:r>
    </w:p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</w:p>
    <w:tbl>
      <w:tblPr>
        <w:tblW w:w="4979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"/>
        <w:gridCol w:w="510"/>
        <w:gridCol w:w="6054"/>
        <w:gridCol w:w="2736"/>
      </w:tblGrid>
      <w:tr w:rsidR="0058751E" w:rsidRPr="00677A6A" w:rsidTr="00B167E1">
        <w:trPr>
          <w:trHeight w:hRule="exact" w:val="830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№</w:t>
            </w:r>
            <w:r w:rsidRPr="00677A6A">
              <w:rPr>
                <w:b/>
                <w:bCs/>
              </w:rPr>
              <w:br/>
              <w:t>п/п</w:t>
            </w:r>
          </w:p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Виды работ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Периодичность</w:t>
            </w:r>
          </w:p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  <w:r w:rsidRPr="00677A6A">
              <w:rPr>
                <w:b/>
                <w:bCs/>
              </w:rPr>
              <w:t>выполнения работ</w:t>
            </w:r>
          </w:p>
          <w:p w:rsidR="0058751E" w:rsidRPr="00677A6A" w:rsidRDefault="0058751E" w:rsidP="00B167E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58751E" w:rsidRPr="00677A6A" w:rsidTr="00B167E1">
        <w:trPr>
          <w:trHeight w:val="1450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1.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rPr>
                <w:szCs w:val="21"/>
              </w:rPr>
              <w:t>Плановые и внеплановые осмотры систем электроснабжения             с занесением результатов в рабочий журнал осмотров, проверка соответствия схемы электроснабжения проектной документации для исключения самовольных подключений с нарушением правил эксплуатации электроустановок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rPr>
                <w:szCs w:val="21"/>
              </w:rPr>
              <w:t>не реже 1 раза в месяц</w:t>
            </w:r>
          </w:p>
        </w:tc>
      </w:tr>
      <w:tr w:rsidR="0058751E" w:rsidRPr="00677A6A" w:rsidTr="00B167E1">
        <w:trPr>
          <w:trHeight w:hRule="exact" w:val="351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2.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>Составление дефектных ведомостей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>по мере необходимости</w:t>
            </w:r>
          </w:p>
        </w:tc>
      </w:tr>
      <w:tr w:rsidR="0058751E" w:rsidRPr="00677A6A" w:rsidTr="00B167E1">
        <w:trPr>
          <w:trHeight w:val="570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3.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rFonts w:eastAsia="Arial Unicode MS"/>
                <w:szCs w:val="16"/>
              </w:rPr>
            </w:pPr>
            <w:r w:rsidRPr="00677A6A">
              <w:rPr>
                <w:szCs w:val="16"/>
              </w:rPr>
              <w:t>Проверка крепления светильников коммунального и фасадного освещения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rFonts w:eastAsia="Arial Unicode MS"/>
                <w:szCs w:val="16"/>
              </w:rPr>
            </w:pPr>
            <w:r w:rsidRPr="00677A6A">
              <w:rPr>
                <w:szCs w:val="16"/>
              </w:rPr>
              <w:t>не реже 2 раз в год</w:t>
            </w:r>
          </w:p>
        </w:tc>
      </w:tr>
      <w:tr w:rsidR="0058751E" w:rsidRPr="00677A6A" w:rsidTr="00B167E1">
        <w:trPr>
          <w:trHeight w:val="612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4.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Протирка, ремонт или замена светильников коммунального               и фасадного освещения, перегоревших ламп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     но не реже 2 раз в год</w:t>
            </w:r>
          </w:p>
        </w:tc>
      </w:tr>
      <w:tr w:rsidR="0058751E" w:rsidRPr="00677A6A" w:rsidTr="00B167E1">
        <w:trPr>
          <w:trHeight w:hRule="exact" w:val="891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5.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Замена стенового или потолочного электрического патрона; проверка надежности присоединения фазного и нулевого проводов к их контактам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      но не реже 2 раз в год</w:t>
            </w:r>
          </w:p>
        </w:tc>
      </w:tr>
      <w:tr w:rsidR="0058751E" w:rsidRPr="00677A6A" w:rsidTr="00B167E1">
        <w:trPr>
          <w:trHeight w:val="1143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6.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t>Устранение незначительных неисправностей электротехнических устройств: замена перегоревших электроламп в помещениях общественного пользования и светильниках наружного           освещения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    но не реже 2 раз в год</w:t>
            </w:r>
          </w:p>
        </w:tc>
      </w:tr>
      <w:tr w:rsidR="0058751E" w:rsidRPr="00677A6A" w:rsidTr="00B167E1">
        <w:trPr>
          <w:trHeight w:hRule="exact" w:val="897"/>
        </w:trPr>
        <w:tc>
          <w:tcPr>
            <w:tcW w:w="277" w:type="pct"/>
            <w:gridSpan w:val="2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7.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t xml:space="preserve">Замена и ремонт выключателей, </w:t>
            </w:r>
            <w:r w:rsidRPr="00677A6A">
              <w:rPr>
                <w:szCs w:val="16"/>
              </w:rPr>
              <w:t>замена неисправных участков электросети здания, замена поврежденных креплений электропроводки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635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8.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t>Замена предохранителей, плавких вставок, автоматических   выключателей, пакетных переключателей, электромагнитных контакторов и пускателей, реле, ремонт или замена рубильников, электродвигателей (для высотных жилых домов). Замена настенных и потолочных патронов, распределительных коробок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21"/>
              </w:rPr>
            </w:pPr>
            <w:r w:rsidRPr="00677A6A">
              <w:rPr>
                <w:szCs w:val="21"/>
              </w:rPr>
              <w:t xml:space="preserve">по мере </w:t>
            </w:r>
            <w:proofErr w:type="gramStart"/>
            <w:r w:rsidRPr="00677A6A">
              <w:rPr>
                <w:szCs w:val="21"/>
              </w:rPr>
              <w:t xml:space="preserve">необходимости,   </w:t>
            </w:r>
            <w:proofErr w:type="gramEnd"/>
            <w:r w:rsidRPr="00677A6A">
              <w:rPr>
                <w:szCs w:val="21"/>
              </w:rPr>
              <w:t xml:space="preserve">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254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9.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rFonts w:eastAsia="Arial Unicode MS"/>
                <w:szCs w:val="16"/>
              </w:rPr>
            </w:pPr>
            <w:r w:rsidRPr="00677A6A">
              <w:rPr>
                <w:szCs w:val="16"/>
              </w:rPr>
              <w:t xml:space="preserve">Визуальный осмотр видимой части заземляющего устройства, </w:t>
            </w:r>
            <w:proofErr w:type="spellStart"/>
            <w:r w:rsidRPr="00677A6A">
              <w:rPr>
                <w:szCs w:val="16"/>
              </w:rPr>
              <w:t>зануления</w:t>
            </w:r>
            <w:proofErr w:type="spellEnd"/>
            <w:r w:rsidRPr="00677A6A">
              <w:rPr>
                <w:szCs w:val="16"/>
              </w:rPr>
              <w:t xml:space="preserve">. Проверка состояния изоляции проводов схем вводных и распределительных устройств. Проверка состояния контактных соединений 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по мере </w:t>
            </w:r>
            <w:proofErr w:type="gramStart"/>
            <w:r w:rsidRPr="00677A6A">
              <w:rPr>
                <w:szCs w:val="16"/>
              </w:rPr>
              <w:t xml:space="preserve">необходимости,   </w:t>
            </w:r>
            <w:proofErr w:type="gramEnd"/>
            <w:r w:rsidRPr="00677A6A">
              <w:rPr>
                <w:szCs w:val="16"/>
              </w:rPr>
              <w:t xml:space="preserve">  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897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10.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rPr>
                <w:szCs w:val="16"/>
              </w:rPr>
              <w:t>Проверка надежности присоединений электросети к магистралям, шинам, стоякам вводно-распределительных устройств            и этажных щитов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по мере </w:t>
            </w:r>
            <w:proofErr w:type="gramStart"/>
            <w:r w:rsidRPr="00677A6A">
              <w:rPr>
                <w:szCs w:val="16"/>
              </w:rPr>
              <w:t xml:space="preserve">необходимости,   </w:t>
            </w:r>
            <w:proofErr w:type="gramEnd"/>
            <w:r w:rsidRPr="00677A6A">
              <w:rPr>
                <w:szCs w:val="16"/>
              </w:rPr>
              <w:t xml:space="preserve">  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426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</w:pPr>
            <w:r w:rsidRPr="00677A6A">
              <w:t>11.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Осмотр линий электросетей, арматуры и электрооборудования жилого дома, в том числе контроль за отсутствием перегрева сетей. Проверка состояния коммутационных аппаратов, протягивание и чистка контактов и крепежных соединений коммутационных аппаратов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по мере </w:t>
            </w:r>
            <w:proofErr w:type="gramStart"/>
            <w:r w:rsidRPr="00677A6A">
              <w:rPr>
                <w:szCs w:val="16"/>
              </w:rPr>
              <w:t xml:space="preserve">необходимости,   </w:t>
            </w:r>
            <w:proofErr w:type="gramEnd"/>
            <w:r w:rsidRPr="00677A6A">
              <w:rPr>
                <w:szCs w:val="16"/>
              </w:rPr>
              <w:t xml:space="preserve">   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150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lastRenderedPageBreak/>
              <w:t>12.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bCs/>
              </w:rPr>
            </w:pPr>
            <w:r w:rsidRPr="00677A6A">
              <w:rPr>
                <w:szCs w:val="16"/>
              </w:rPr>
              <w:t>Измерение сопротивления изоляции сетей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в сроки, установленные нормативными документами, и по мере необходимости</w:t>
            </w:r>
          </w:p>
        </w:tc>
      </w:tr>
      <w:tr w:rsidR="0058751E" w:rsidRPr="00677A6A" w:rsidTr="00B167E1">
        <w:trPr>
          <w:gridBefore w:val="1"/>
          <w:wBefore w:w="3" w:type="pct"/>
          <w:trHeight w:val="1120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t>13.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Замер нагрузок по фазам и при необходимости перераспределения нагрузок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в сроки, установленные нормативными документами, и по мере необходимости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071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t>14.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Измерение тока короткого замыкания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в сроки, установленные нормативными документами, и по мере необходимости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073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t>15.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Измерение сопротивления контура заземления и </w:t>
            </w:r>
            <w:proofErr w:type="spellStart"/>
            <w:r w:rsidRPr="00677A6A">
              <w:rPr>
                <w:szCs w:val="16"/>
              </w:rPr>
              <w:t>металлосвязи</w:t>
            </w:r>
            <w:proofErr w:type="spellEnd"/>
            <w:r w:rsidRPr="00677A6A">
              <w:rPr>
                <w:szCs w:val="16"/>
              </w:rPr>
              <w:t xml:space="preserve"> с оформлением протоколов в сроки, установленные нормативными документами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в сроки, установленные нормативными документами, и по мере необходимости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630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t>16.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Ремонт или замена электрических и слаботочных щитов </w:t>
            </w:r>
          </w:p>
          <w:p w:rsidR="0058751E" w:rsidRPr="00677A6A" w:rsidRDefault="0058751E" w:rsidP="00B167E1">
            <w:pPr>
              <w:shd w:val="clear" w:color="auto" w:fill="FFFFFF"/>
              <w:jc w:val="both"/>
              <w:rPr>
                <w:bCs/>
              </w:rPr>
            </w:pP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 xml:space="preserve">по мере </w:t>
            </w:r>
            <w:proofErr w:type="gramStart"/>
            <w:r w:rsidRPr="00677A6A">
              <w:rPr>
                <w:szCs w:val="16"/>
              </w:rPr>
              <w:t xml:space="preserve">необходимости,   </w:t>
            </w:r>
            <w:proofErr w:type="gramEnd"/>
            <w:r w:rsidRPr="00677A6A">
              <w:rPr>
                <w:szCs w:val="16"/>
              </w:rPr>
              <w:t xml:space="preserve">         но не реже 2 раз в год</w:t>
            </w:r>
          </w:p>
        </w:tc>
      </w:tr>
      <w:tr w:rsidR="0058751E" w:rsidRPr="00677A6A" w:rsidTr="00B167E1">
        <w:trPr>
          <w:gridBefore w:val="1"/>
          <w:wBefore w:w="3" w:type="pct"/>
          <w:trHeight w:hRule="exact" w:val="1113"/>
        </w:trPr>
        <w:tc>
          <w:tcPr>
            <w:tcW w:w="274" w:type="pct"/>
          </w:tcPr>
          <w:p w:rsidR="0058751E" w:rsidRPr="00677A6A" w:rsidRDefault="0058751E" w:rsidP="00B167E1">
            <w:pPr>
              <w:shd w:val="clear" w:color="auto" w:fill="FFFFFF"/>
              <w:jc w:val="center"/>
              <w:rPr>
                <w:bCs/>
              </w:rPr>
            </w:pPr>
            <w:r w:rsidRPr="00677A6A">
              <w:rPr>
                <w:bCs/>
              </w:rPr>
              <w:t>17.</w:t>
            </w:r>
          </w:p>
        </w:tc>
        <w:tc>
          <w:tcPr>
            <w:tcW w:w="3253" w:type="pct"/>
          </w:tcPr>
          <w:p w:rsidR="0058751E" w:rsidRPr="00677A6A" w:rsidRDefault="0058751E" w:rsidP="00B167E1">
            <w:pPr>
              <w:shd w:val="clear" w:color="auto" w:fill="FFFFFF"/>
              <w:jc w:val="both"/>
            </w:pPr>
            <w:r w:rsidRPr="00677A6A">
              <w:t>Ремонт и поверка измерительных приборов, испытание защитных средств. Экспертиза вышедших из строя электроинструментов</w:t>
            </w:r>
          </w:p>
        </w:tc>
        <w:tc>
          <w:tcPr>
            <w:tcW w:w="1470" w:type="pct"/>
          </w:tcPr>
          <w:p w:rsidR="0058751E" w:rsidRPr="00677A6A" w:rsidRDefault="0058751E" w:rsidP="00B167E1">
            <w:pPr>
              <w:shd w:val="clear" w:color="auto" w:fill="FFFFFF"/>
              <w:jc w:val="both"/>
              <w:rPr>
                <w:szCs w:val="16"/>
              </w:rPr>
            </w:pPr>
            <w:r w:rsidRPr="00677A6A">
              <w:rPr>
                <w:szCs w:val="16"/>
              </w:rPr>
              <w:t>в сроки, установленные нормативными документами, и по мере необходимости</w:t>
            </w:r>
          </w:p>
        </w:tc>
      </w:tr>
    </w:tbl>
    <w:p w:rsidR="0058751E" w:rsidRPr="00677A6A" w:rsidRDefault="0058751E" w:rsidP="0058751E">
      <w:pPr>
        <w:pStyle w:val="a3"/>
        <w:shd w:val="clear" w:color="auto" w:fill="FFFFFF"/>
        <w:rPr>
          <w:sz w:val="28"/>
        </w:rPr>
      </w:pPr>
    </w:p>
    <w:p w:rsidR="001424D2" w:rsidRDefault="001424D2">
      <w:bookmarkStart w:id="0" w:name="_GoBack"/>
      <w:bookmarkEnd w:id="0"/>
    </w:p>
    <w:sectPr w:rsidR="0014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1E"/>
    <w:rsid w:val="001424D2"/>
    <w:rsid w:val="005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F9CC0-3999-4AE3-BC71-3C2FA0E7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751E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8751E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2015-03-20T08:17:00Z</dcterms:created>
  <dcterms:modified xsi:type="dcterms:W3CDTF">2015-03-20T08:18:00Z</dcterms:modified>
</cp:coreProperties>
</file>